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62</w:t>
      </w:r>
    </w:p>
    <w:p>
      <w:r>
        <w:t>Bundesgericht (BGE), 1973-05-07, DE</w:t>
      </w:r>
    </w:p>
    <w:p>
      <w:r>
        <w:rPr>
          <w:b/>
        </w:rPr>
        <w:t xml:space="preserve">Quelle: </w:t>
      </w:r>
      <w:r>
        <w:t>https://mcp.opencaselaw.ch/entscheid/bge_99 V 62</w:t>
      </w:r>
    </w:p>
    <w:p>
      <w:r>
        <w:t>FR: ATF 99 V 62</w:t>
      </w:r>
    </w:p>
    <w:p>
      <w:r>
        <w:t>IT: DTF 99 V 62</w:t>
      </w:r>
    </w:p>
    <w:p>
      <w:pPr>
        <w:pStyle w:val="Heading2"/>
      </w:pPr>
      <w:r>
        <w:t>Regeste</w:t>
      </w:r>
    </w:p>
    <w:p>
      <w:r>
        <w:t>Regeste Die Berichtigung von Rechnungsfehlern (Art. 145 OG, Art. 69 VwG) entspricht einem bundesrechtlichen, dem kantonalen Recht übergeordneten und dem Sozialversicherungsprozess innewohnenden Verfahrensgrundsatz.</w:t>
      </w:r>
    </w:p>
    <w:p>
      <w:pPr>
        <w:pStyle w:val="Heading2"/>
      </w:pPr>
      <w:r>
        <w:t>Erwägungen</w:t>
      </w:r>
    </w:p>
    <w:p>
      <w:r>
        <w:rPr>
          <w:b/>
        </w:rPr>
        <w:t>E. 1</w:t>
      </w:r>
    </w:p>
    <w:p>
      <w:r>
        <w:t>Es ist nicht umstritten und steht nach den Akten fest, dass sowohl der Ausgleichskasse in ihrer Vernehmlassung vom BGE 99 V 62 S. 64 30. Oktober 1970 als auch der Vorinstanz, welche die ihr von der Ausgleichskasse gemeldeten Zahlen zu prüfen hat, ein Rechnungsfehler unterlaufen ist: bei der Subtraktion des Zinses für das investierte Eigenkapital von Fr. 5150.-- vom durchschnittlichen jährlichen Erwerbseinkommen von Fr. 64 113.-- wurde ein Betrag von Fr. 48 963.-- statt richtigerweise ein solcher von Fr. 58 963.-- errechnet. Es fragt sich, ob dieser Fehler korrigiert werden kann.</w:t>
      </w:r>
    </w:p>
    <w:p>
      <w:r>
        <w:rPr>
          <w:b/>
        </w:rPr>
        <w:t>E. 2</w:t>
      </w:r>
    </w:p>
    <w:p>
      <w:r>
        <w:t>a) Art. 85 Abs. 2 AHVG bestimmt einerseits, dass die Kantone das Rekursverfahren zu regeln haben, und zählt anderseits die Anforderungen auf, welchen die kantonalen Verfahrensbestimmungen zu genügen haben. Die Berichtigung eines Rechnungsfehlers ist in der Aufzählung des Art. 85 Abs. 2 AHVG nicht vorgesehen. b) Weil indessen das Sozialversicherungsrecht sehr viele Möglichkeiten zu Rechnungsfehlern in sich birgt - man denke vor allem an die Festsetzung der zahlreichen, oft jahrzehntelang dauernden Renten der AHV und der Invalidenversicherung -, gebietet die rechtsgleiche Anwendung des materiellen Rechts, dass solche Fehler möglichst formlos korrigiert werden können. Dieses Gebot rechtfertigt es, die Berichtigung von Rechnungsfehlern, wie sie in den Art. 145 OG und 69 VwG vorgesehen ist, als bundesrechtlichen, dem kantonalen Recht übergeordneten und dem Sozialversicherungsprozess innewohnenden Verfahrensgrundsatz zu betrachten, an den sich die kantonalen Rechtspflegeorgane zu halten haben. In beiden Bestimmungen ist der Grundgedanke derselbe: Die Beschwerdeinstanz soll einen Rechtsspruch, der Rechnungsfehler enthält, formlos und jederzeit berichtigen können. c) Ein Rechtsspruch leidet namentlich auch dann an einem Rechnungsfehler, wenn in einem Beschwerdeentscheid ein falsches Rechnungsergebnis unbesehen aus den Akten übernommen worden ist.</w:t>
      </w:r>
    </w:p>
    <w:p>
      <w:r>
        <w:rPr>
          <w:b/>
        </w:rPr>
        <w:t>E. 3</w:t>
      </w:r>
    </w:p>
    <w:p>
      <w:r>
        <w:t>Im vorliegenden Fall sind nach dem Gesagten der kantonale Entscheid vom 9. Juli 1971 und die Kassenverfügung vom 15. Februar 1971 aufzuheben und die Sache ist an die Rekursbehörde für die Sozialversicherung des Kantons Basel-Landschaft zur Berichtigung des mit dem Rechnungsfehler behafteten Entscheides vom 20. November 1970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